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Приложение № </w:t>
      </w:r>
      <w:r w:rsidR="000017A0">
        <w:rPr>
          <w:color w:val="000000"/>
        </w:rPr>
        <w:t>2</w:t>
      </w:r>
      <w:r w:rsidRPr="00D04591">
        <w:rPr>
          <w:color w:val="000000"/>
        </w:rPr>
        <w:t xml:space="preserve"> к Приказу № </w:t>
      </w:r>
      <w:r w:rsidR="000017A0">
        <w:rPr>
          <w:color w:val="000000"/>
        </w:rPr>
        <w:t>79</w:t>
      </w:r>
      <w:r w:rsidRPr="00D04591">
        <w:rPr>
          <w:color w:val="000000"/>
        </w:rPr>
        <w:t xml:space="preserve"> от </w:t>
      </w:r>
      <w:r w:rsidR="000017A0">
        <w:rPr>
          <w:color w:val="000000"/>
        </w:rPr>
        <w:t>25</w:t>
      </w:r>
      <w:r w:rsidRPr="00D04591">
        <w:rPr>
          <w:color w:val="000000"/>
        </w:rPr>
        <w:t xml:space="preserve"> </w:t>
      </w:r>
      <w:r w:rsidR="000017A0">
        <w:rPr>
          <w:color w:val="000000"/>
        </w:rPr>
        <w:t>мая</w:t>
      </w:r>
      <w:r w:rsidRPr="00D04591">
        <w:rPr>
          <w:color w:val="000000"/>
        </w:rPr>
        <w:t xml:space="preserve"> 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0017A0">
        <w:rPr>
          <w:color w:val="000000"/>
        </w:rPr>
        <w:t>3</w:t>
      </w:r>
      <w:r w:rsidR="00D04591">
        <w:rPr>
          <w:color w:val="000000"/>
        </w:rPr>
        <w:t>0</w:t>
      </w:r>
      <w:r w:rsidRPr="00D04591">
        <w:rPr>
          <w:color w:val="000000"/>
        </w:rPr>
        <w:t>.0</w:t>
      </w:r>
      <w:r w:rsidR="000017A0">
        <w:rPr>
          <w:color w:val="000000"/>
        </w:rPr>
        <w:t>6</w:t>
      </w:r>
      <w:r w:rsidRPr="00D04591">
        <w:rPr>
          <w:color w:val="000000"/>
        </w:rPr>
        <w:t>.202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207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"/>
        <w:gridCol w:w="536"/>
        <w:gridCol w:w="148"/>
        <w:gridCol w:w="22"/>
        <w:gridCol w:w="247"/>
        <w:gridCol w:w="4665"/>
        <w:gridCol w:w="24"/>
        <w:gridCol w:w="7"/>
        <w:gridCol w:w="137"/>
        <w:gridCol w:w="2512"/>
        <w:gridCol w:w="37"/>
        <w:gridCol w:w="135"/>
        <w:gridCol w:w="1992"/>
        <w:gridCol w:w="9"/>
        <w:gridCol w:w="386"/>
      </w:tblGrid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 при отсутствии клиентских операций по нему в течение 1 года (кроме операций по списанию комиссий)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  <w:trHeight w:val="32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  <w:trHeight w:val="32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10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  <w:trHeight w:val="379"/>
        </w:trPr>
        <w:tc>
          <w:tcPr>
            <w:tcW w:w="49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D7B9A" w:rsidRPr="000D7B9A" w:rsidTr="00F9416E">
        <w:trPr>
          <w:gridBefore w:val="1"/>
          <w:wBefore w:w="78" w:type="pct"/>
          <w:trHeight w:val="47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Before w:val="1"/>
          <w:wBefore w:w="78" w:type="pct"/>
          <w:trHeight w:val="47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Before w:val="1"/>
          <w:wBefore w:w="78" w:type="pct"/>
          <w:trHeight w:val="473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Before w:val="1"/>
          <w:wBefore w:w="78" w:type="pct"/>
          <w:trHeight w:val="698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2.3.4.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Before w:val="1"/>
          <w:wBefore w:w="78" w:type="pct"/>
          <w:trHeight w:val="565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2.3.5.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0D7B9A" w:rsidRPr="000D7B9A" w:rsidRDefault="000D7B9A" w:rsidP="00B4162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F9416E">
        <w:trPr>
          <w:gridBefore w:val="1"/>
          <w:wBefore w:w="78" w:type="pct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0D7B9A" w:rsidRPr="000D7B9A" w:rsidTr="00F9416E">
        <w:trPr>
          <w:gridBefore w:val="1"/>
          <w:wBefore w:w="78" w:type="pct"/>
          <w:trHeight w:val="450"/>
        </w:trPr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2.6.1.</w:t>
            </w:r>
          </w:p>
        </w:tc>
        <w:tc>
          <w:tcPr>
            <w:tcW w:w="23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After w:val="1"/>
          <w:wAfter w:w="175" w:type="pct"/>
          <w:trHeight w:val="446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2.6.2.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After w:val="1"/>
          <w:wAfter w:w="175" w:type="pct"/>
          <w:trHeight w:val="575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</w:t>
            </w:r>
            <w:r w:rsidR="00091194"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F9416E">
        <w:trPr>
          <w:gridAfter w:val="1"/>
          <w:wAfter w:w="175" w:type="pct"/>
          <w:trHeight w:val="427"/>
        </w:trPr>
        <w:tc>
          <w:tcPr>
            <w:tcW w:w="4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0D7B9A" w:rsidRPr="000D7B9A" w:rsidTr="00F9416E">
        <w:trPr>
          <w:gridAfter w:val="1"/>
          <w:wAfter w:w="175" w:type="pct"/>
          <w:trHeight w:val="338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0D7B9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D7B9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91194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денежных </w:t>
            </w:r>
            <w:r w:rsidR="007D2C05">
              <w:rPr>
                <w:color w:val="000000"/>
                <w:sz w:val="18"/>
                <w:szCs w:val="18"/>
              </w:rPr>
              <w:t xml:space="preserve">средств в долларах США / евро </w:t>
            </w:r>
            <w:r w:rsidRPr="000D7B9A">
              <w:rPr>
                <w:color w:val="000000"/>
                <w:sz w:val="18"/>
                <w:szCs w:val="18"/>
              </w:rPr>
              <w:t>в пользу Клиентов других кредитных организаций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91194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="000D7B9A" w:rsidRPr="000D7B9A">
              <w:rPr>
                <w:color w:val="000000"/>
                <w:sz w:val="18"/>
                <w:szCs w:val="18"/>
              </w:rPr>
              <w:t>%  от суммы</w:t>
            </w:r>
          </w:p>
          <w:p w:rsidR="000D7B9A" w:rsidRPr="005C4901" w:rsidRDefault="000D7B9A" w:rsidP="00F800F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</w:t>
            </w:r>
            <w:r w:rsidR="00091194">
              <w:rPr>
                <w:color w:val="000000"/>
                <w:sz w:val="18"/>
                <w:szCs w:val="18"/>
              </w:rPr>
              <w:t>50</w:t>
            </w:r>
            <w:r w:rsidR="00091194" w:rsidRPr="000D7B9A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долларов США /</w:t>
            </w:r>
            <w:r w:rsidR="00F800F8" w:rsidRPr="005C4901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35191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E62791" w:rsidRDefault="00635191" w:rsidP="000D7B9A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E62791">
              <w:rPr>
                <w:sz w:val="18"/>
                <w:szCs w:val="18"/>
                <w:lang w:val="en-US"/>
              </w:rPr>
              <w:t>3.2.4.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E62791" w:rsidRDefault="00635191" w:rsidP="00635191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>Перевод денежных средств в китайских юанях в пользу Клиентов других кредитных организаций</w:t>
            </w:r>
          </w:p>
          <w:p w:rsidR="00635191" w:rsidRPr="00E62791" w:rsidRDefault="00635191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E62791" w:rsidRDefault="00A84C8A" w:rsidP="002662CE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>1</w:t>
            </w:r>
            <w:r w:rsidR="00635191" w:rsidRPr="00E62791">
              <w:rPr>
                <w:sz w:val="18"/>
                <w:szCs w:val="18"/>
              </w:rPr>
              <w:t>% от суммы</w:t>
            </w:r>
          </w:p>
          <w:p w:rsidR="0076299D" w:rsidRPr="00E62791" w:rsidRDefault="00635191" w:rsidP="00E11CA5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 xml:space="preserve">минимум </w:t>
            </w:r>
            <w:r w:rsidR="00E11CA5" w:rsidRPr="00E62791">
              <w:rPr>
                <w:sz w:val="18"/>
                <w:szCs w:val="18"/>
              </w:rPr>
              <w:t xml:space="preserve">350 </w:t>
            </w:r>
          </w:p>
          <w:p w:rsidR="00635191" w:rsidRPr="00E62791" w:rsidRDefault="0076299D" w:rsidP="00E11CA5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>максимум 1300 китайских юаней*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91" w:rsidRPr="00635191" w:rsidRDefault="00635191" w:rsidP="000D7B9A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E62791" w:rsidRDefault="00E11CA5" w:rsidP="00AA2290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>3.2.</w:t>
            </w:r>
            <w:r w:rsidRPr="00E62791">
              <w:rPr>
                <w:sz w:val="18"/>
                <w:szCs w:val="18"/>
                <w:lang w:val="en-US"/>
              </w:rPr>
              <w:t>5</w:t>
            </w:r>
            <w:r w:rsidRPr="00E62791">
              <w:rPr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E62791" w:rsidRDefault="00E11CA5" w:rsidP="00E11CA5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 xml:space="preserve">Перевод денежных средств в </w:t>
            </w:r>
            <w:r w:rsidR="0076299D" w:rsidRPr="00E62791">
              <w:rPr>
                <w:sz w:val="18"/>
                <w:szCs w:val="18"/>
              </w:rPr>
              <w:t>Т</w:t>
            </w:r>
            <w:r w:rsidRPr="00E62791">
              <w:rPr>
                <w:sz w:val="18"/>
                <w:szCs w:val="18"/>
              </w:rPr>
              <w:t>енге в пользу Клиентов других кредитных организаций</w:t>
            </w:r>
            <w:bookmarkStart w:id="0" w:name="_GoBack"/>
            <w:bookmarkEnd w:id="0"/>
          </w:p>
          <w:p w:rsidR="00E11CA5" w:rsidRPr="00E62791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E62791" w:rsidRDefault="0076299D" w:rsidP="002662CE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>1% от суммы</w:t>
            </w:r>
          </w:p>
          <w:p w:rsidR="0076299D" w:rsidRPr="00E62791" w:rsidRDefault="0076299D" w:rsidP="002662CE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 xml:space="preserve">минимум 23000 </w:t>
            </w:r>
          </w:p>
          <w:p w:rsidR="0076299D" w:rsidRPr="00E62791" w:rsidRDefault="0076299D" w:rsidP="002662CE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>максимум 135000 Тенге*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76299D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AA229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2662C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AA229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E11C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1"/>
          <w:wAfter w:w="175" w:type="pct"/>
          <w:trHeight w:val="416"/>
        </w:trPr>
        <w:tc>
          <w:tcPr>
            <w:tcW w:w="48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E11CA5" w:rsidRPr="000D7B9A" w:rsidTr="00F9416E">
        <w:trPr>
          <w:gridAfter w:val="1"/>
          <w:wAfter w:w="175" w:type="pct"/>
          <w:trHeight w:val="1428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 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r w:rsidRPr="000D7B9A">
              <w:rPr>
                <w:sz w:val="18"/>
                <w:szCs w:val="18"/>
              </w:rPr>
              <w:t>ин</w:t>
            </w:r>
            <w:proofErr w:type="gramStart"/>
            <w:r w:rsidRPr="000D7B9A">
              <w:rPr>
                <w:sz w:val="18"/>
                <w:szCs w:val="18"/>
              </w:rPr>
              <w:t>.в</w:t>
            </w:r>
            <w:proofErr w:type="gramEnd"/>
            <w:r w:rsidRPr="000D7B9A">
              <w:rPr>
                <w:sz w:val="18"/>
                <w:szCs w:val="18"/>
              </w:rPr>
              <w:t>алюты</w:t>
            </w:r>
            <w:proofErr w:type="spell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r w:rsidRPr="000D7B9A">
              <w:rPr>
                <w:sz w:val="18"/>
                <w:szCs w:val="18"/>
              </w:rPr>
              <w:t>ин</w:t>
            </w:r>
            <w:proofErr w:type="gramStart"/>
            <w:r w:rsidRPr="000D7B9A">
              <w:rPr>
                <w:sz w:val="18"/>
                <w:szCs w:val="18"/>
              </w:rPr>
              <w:t>.в</w:t>
            </w:r>
            <w:proofErr w:type="gramEnd"/>
            <w:r w:rsidRPr="000D7B9A">
              <w:rPr>
                <w:sz w:val="18"/>
                <w:szCs w:val="18"/>
              </w:rPr>
              <w:t>алюты</w:t>
            </w:r>
            <w:proofErr w:type="spell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E11CA5" w:rsidRPr="000D7B9A" w:rsidRDefault="00E11CA5" w:rsidP="000D7B9A">
            <w:pPr>
              <w:jc w:val="center"/>
              <w:rPr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443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4.4.3.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 и 4.4.2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4.4.4.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B4162D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1CA5" w:rsidRPr="00870062" w:rsidTr="00F9416E">
        <w:trPr>
          <w:gridAfter w:val="1"/>
          <w:wAfter w:w="175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B4162D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E11CA5" w:rsidRPr="00B4162D" w:rsidRDefault="00E11CA5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4.4.7.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DF15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DF15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4.4.9.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4.4.10.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4.4.11.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2"/>
          <w:wAfter w:w="179" w:type="pct"/>
          <w:trHeight w:val="832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4.4.12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F9416E">
        <w:trPr>
          <w:gridAfter w:val="2"/>
          <w:wAfter w:w="179" w:type="pct"/>
          <w:trHeight w:val="832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Pr="000D7B9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суммы*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руб.*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F9416E">
        <w:trPr>
          <w:gridAfter w:val="2"/>
          <w:wAfter w:w="179" w:type="pct"/>
          <w:trHeight w:val="385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4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E11CA5" w:rsidRPr="000D7B9A" w:rsidTr="00D464D4">
        <w:trPr>
          <w:gridAfter w:val="2"/>
          <w:wAfter w:w="179" w:type="pct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11CA5" w:rsidRPr="000D7B9A" w:rsidTr="00D464D4">
        <w:trPr>
          <w:gridAfter w:val="2"/>
          <w:wAfter w:w="179" w:type="pct"/>
          <w:trHeight w:val="382"/>
        </w:trPr>
        <w:tc>
          <w:tcPr>
            <w:tcW w:w="48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E11CA5" w:rsidRPr="000D7B9A" w:rsidTr="00D464D4">
        <w:trPr>
          <w:gridAfter w:val="2"/>
          <w:wAfter w:w="179" w:type="pct"/>
        </w:trPr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11CA5" w:rsidRPr="000D7B9A" w:rsidTr="00D464D4">
        <w:trPr>
          <w:gridAfter w:val="2"/>
          <w:wAfter w:w="179" w:type="pct"/>
        </w:trPr>
        <w:tc>
          <w:tcPr>
            <w:tcW w:w="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A5" w:rsidRPr="000D7B9A" w:rsidRDefault="00E11CA5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0D7B9A" w:rsidRPr="000D7B9A" w:rsidRDefault="000D7B9A" w:rsidP="000D7B9A">
      <w:pPr>
        <w:shd w:val="clear" w:color="auto" w:fill="FFFFFF"/>
        <w:spacing w:after="120"/>
        <w:jc w:val="both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 w:rsidRPr="000D7B9A">
        <w:rPr>
          <w:b/>
          <w:color w:val="000000"/>
          <w:sz w:val="18"/>
          <w:szCs w:val="18"/>
        </w:rPr>
        <w:t>*Комиссия взимается в Рублях РФ (по курсу Банка для комиссии)</w:t>
      </w:r>
    </w:p>
    <w:p w:rsidR="00D311F9" w:rsidRDefault="00D311F9" w:rsidP="00F9416E">
      <w:pPr>
        <w:outlineLvl w:val="0"/>
        <w:rPr>
          <w:b/>
          <w:sz w:val="22"/>
          <w:szCs w:val="22"/>
        </w:rPr>
      </w:pPr>
    </w:p>
    <w:sectPr w:rsidR="00D311F9" w:rsidSect="00F9416E">
      <w:footerReference w:type="default" r:id="rId9"/>
      <w:pgSz w:w="11906" w:h="16838"/>
      <w:pgMar w:top="567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D3" w:rsidRDefault="00E15AD3">
      <w:r>
        <w:separator/>
      </w:r>
    </w:p>
  </w:endnote>
  <w:endnote w:type="continuationSeparator" w:id="0">
    <w:p w:rsidR="00E15AD3" w:rsidRDefault="00E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D3" w:rsidRDefault="00E15AD3">
      <w:r>
        <w:separator/>
      </w:r>
    </w:p>
  </w:footnote>
  <w:footnote w:type="continuationSeparator" w:id="0">
    <w:p w:rsidR="00E15AD3" w:rsidRDefault="00E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815"/>
    <w:rsid w:val="00023A8B"/>
    <w:rsid w:val="00025915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78"/>
    <w:rsid w:val="0028748B"/>
    <w:rsid w:val="00290D9E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6063"/>
    <w:rsid w:val="0037709A"/>
    <w:rsid w:val="003772BB"/>
    <w:rsid w:val="003800CC"/>
    <w:rsid w:val="003817DA"/>
    <w:rsid w:val="00382142"/>
    <w:rsid w:val="003835E5"/>
    <w:rsid w:val="00385567"/>
    <w:rsid w:val="003855B9"/>
    <w:rsid w:val="00391749"/>
    <w:rsid w:val="00392069"/>
    <w:rsid w:val="003943AC"/>
    <w:rsid w:val="003946B2"/>
    <w:rsid w:val="00394FB5"/>
    <w:rsid w:val="003A266B"/>
    <w:rsid w:val="003A2B68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3400"/>
    <w:rsid w:val="00453463"/>
    <w:rsid w:val="00453AAB"/>
    <w:rsid w:val="004544A5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1031"/>
    <w:rsid w:val="004A185F"/>
    <w:rsid w:val="004A3C18"/>
    <w:rsid w:val="004A49BF"/>
    <w:rsid w:val="004A5E5E"/>
    <w:rsid w:val="004B0D27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974"/>
    <w:rsid w:val="00573C8A"/>
    <w:rsid w:val="00573D94"/>
    <w:rsid w:val="00576265"/>
    <w:rsid w:val="005764D3"/>
    <w:rsid w:val="00584225"/>
    <w:rsid w:val="0058739D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68DF"/>
    <w:rsid w:val="007E7959"/>
    <w:rsid w:val="007F1040"/>
    <w:rsid w:val="007F1423"/>
    <w:rsid w:val="007F16AA"/>
    <w:rsid w:val="007F2629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D280D"/>
    <w:rsid w:val="008D479C"/>
    <w:rsid w:val="008E1C6B"/>
    <w:rsid w:val="008E4628"/>
    <w:rsid w:val="008E5E8A"/>
    <w:rsid w:val="008F0F8A"/>
    <w:rsid w:val="008F281E"/>
    <w:rsid w:val="008F4613"/>
    <w:rsid w:val="008F4D7D"/>
    <w:rsid w:val="008F512D"/>
    <w:rsid w:val="008F6462"/>
    <w:rsid w:val="008F742D"/>
    <w:rsid w:val="009004F7"/>
    <w:rsid w:val="00901403"/>
    <w:rsid w:val="0090262E"/>
    <w:rsid w:val="00902B36"/>
    <w:rsid w:val="00906480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441BD"/>
    <w:rsid w:val="00944DAE"/>
    <w:rsid w:val="00944E54"/>
    <w:rsid w:val="009515D9"/>
    <w:rsid w:val="009516A5"/>
    <w:rsid w:val="00952E61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5F78"/>
    <w:rsid w:val="00990231"/>
    <w:rsid w:val="009A4725"/>
    <w:rsid w:val="009A5C49"/>
    <w:rsid w:val="009A647C"/>
    <w:rsid w:val="009B3A71"/>
    <w:rsid w:val="009B4547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14892"/>
    <w:rsid w:val="00A1696D"/>
    <w:rsid w:val="00A16A3A"/>
    <w:rsid w:val="00A171FF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2FEA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6959"/>
    <w:rsid w:val="00B46E62"/>
    <w:rsid w:val="00B46F01"/>
    <w:rsid w:val="00B522AD"/>
    <w:rsid w:val="00B54D9E"/>
    <w:rsid w:val="00B551DF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539E"/>
    <w:rsid w:val="00B96191"/>
    <w:rsid w:val="00BA0792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37C4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40A7"/>
    <w:rsid w:val="00DD42B4"/>
    <w:rsid w:val="00DD76E9"/>
    <w:rsid w:val="00DE0FE7"/>
    <w:rsid w:val="00DE2AD2"/>
    <w:rsid w:val="00DE51FA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6BCA"/>
    <w:rsid w:val="00F4134A"/>
    <w:rsid w:val="00F4611C"/>
    <w:rsid w:val="00F52D90"/>
    <w:rsid w:val="00F53DA6"/>
    <w:rsid w:val="00F54B49"/>
    <w:rsid w:val="00F5537C"/>
    <w:rsid w:val="00F559D7"/>
    <w:rsid w:val="00F606EA"/>
    <w:rsid w:val="00F63542"/>
    <w:rsid w:val="00F63664"/>
    <w:rsid w:val="00F647A6"/>
    <w:rsid w:val="00F67B25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5B8F"/>
    <w:rsid w:val="00FA766D"/>
    <w:rsid w:val="00FA7FF5"/>
    <w:rsid w:val="00FB2A17"/>
    <w:rsid w:val="00FB3618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D7E"/>
    <w:rsid w:val="00FE28B4"/>
    <w:rsid w:val="00FE4D83"/>
    <w:rsid w:val="00FE5104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5570-8392-4009-B37D-14CE5F4F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1648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11727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Глущенко Алена Валерьевна</cp:lastModifiedBy>
  <cp:revision>7</cp:revision>
  <cp:lastPrinted>2022-07-04T12:30:00Z</cp:lastPrinted>
  <dcterms:created xsi:type="dcterms:W3CDTF">2022-06-29T14:39:00Z</dcterms:created>
  <dcterms:modified xsi:type="dcterms:W3CDTF">2022-07-04T12:30:00Z</dcterms:modified>
</cp:coreProperties>
</file>